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833"/>
        <w:gridCol w:w="901"/>
        <w:gridCol w:w="1259"/>
        <w:gridCol w:w="1701"/>
        <w:gridCol w:w="255"/>
        <w:gridCol w:w="1902"/>
        <w:gridCol w:w="1378"/>
        <w:gridCol w:w="527"/>
        <w:gridCol w:w="527"/>
        <w:gridCol w:w="527"/>
        <w:gridCol w:w="527"/>
        <w:gridCol w:w="1107"/>
        <w:gridCol w:w="189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方正小标宋简体" w:hAnsi="宋体" w:eastAsia="方正小标宋简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（2022年度）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9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58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412" w:type="pct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教师队伍建设-北京学者-袁广阔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58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21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67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619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首都师范大学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58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21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袁广阔</w:t>
            </w:r>
          </w:p>
        </w:tc>
        <w:tc>
          <w:tcPr>
            <w:tcW w:w="67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619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18611769819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58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项目资金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（万元）</w:t>
            </w:r>
          </w:p>
        </w:tc>
        <w:tc>
          <w:tcPr>
            <w:tcW w:w="76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76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67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7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57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6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58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76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年度资金总额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20.000000 </w:t>
            </w:r>
          </w:p>
        </w:tc>
        <w:tc>
          <w:tcPr>
            <w:tcW w:w="76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20.000000 </w:t>
            </w:r>
          </w:p>
        </w:tc>
        <w:tc>
          <w:tcPr>
            <w:tcW w:w="67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19.997485 </w:t>
            </w:r>
          </w:p>
        </w:tc>
        <w:tc>
          <w:tcPr>
            <w:tcW w:w="37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57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99.99%</w:t>
            </w:r>
          </w:p>
        </w:tc>
        <w:tc>
          <w:tcPr>
            <w:tcW w:w="6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58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76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其中：当年财政拨款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20.000000 </w:t>
            </w:r>
          </w:p>
        </w:tc>
        <w:tc>
          <w:tcPr>
            <w:tcW w:w="76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20.000000 </w:t>
            </w:r>
          </w:p>
        </w:tc>
        <w:tc>
          <w:tcPr>
            <w:tcW w:w="67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19.997485 </w:t>
            </w:r>
          </w:p>
        </w:tc>
        <w:tc>
          <w:tcPr>
            <w:tcW w:w="37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—</w:t>
            </w:r>
          </w:p>
        </w:tc>
        <w:tc>
          <w:tcPr>
            <w:tcW w:w="57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99.99%</w:t>
            </w:r>
          </w:p>
        </w:tc>
        <w:tc>
          <w:tcPr>
            <w:tcW w:w="6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58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76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     上年结转资金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67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7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—</w:t>
            </w:r>
          </w:p>
        </w:tc>
        <w:tc>
          <w:tcPr>
            <w:tcW w:w="57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6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58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76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 其他资金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67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7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—</w:t>
            </w:r>
          </w:p>
        </w:tc>
        <w:tc>
          <w:tcPr>
            <w:tcW w:w="57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6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—</w:t>
            </w:r>
          </w:p>
        </w:tc>
      </w:tr>
      <w:tr>
        <w:trPr>
          <w:trHeight w:val="288" w:hRule="atLeast"/>
          <w:jc w:val="center"/>
        </w:trPr>
        <w:tc>
          <w:tcPr>
            <w:tcW w:w="29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416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290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8" w:hRule="atLeast"/>
          <w:jc w:val="center"/>
        </w:trPr>
        <w:tc>
          <w:tcPr>
            <w:tcW w:w="29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416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团队围绕“立足首都，面向全国，放眼世界”的目标，开展教学和科研队伍建设，培养具备人文精神、科学精神和高素质人才。培养一批优秀青年骨干教师，引进1-2名高层次人才，健全考古专业团队，建立以考古学为基础的交叉学科研究中心，培养一批考古学、博物馆学领域的优秀博士、硕士研究生，服务国家及北京市的文化建设。本学科力争在师范类院校学科评估中名列前茅，并跻身国内考古第一梯队行列。发表高质量论文1-2篇。</w:t>
            </w:r>
          </w:p>
        </w:tc>
        <w:tc>
          <w:tcPr>
            <w:tcW w:w="2290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在北京学者项目支持下，首都师范大学考古学科培养出一批优秀青年骨干教师，他们已经在教学和田野考古第一线发挥重要作用。同时经学校人才引进评审工作会通过同意引进1名高层次人才，将进一步充实考古学专业团队。2022年培养考古学和文化遗产领域的博士研究生5人，硕士研究生5人，发表高水平论文3篇。本专业在新一轮学科评估中，又向前进了一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9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2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3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1133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6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4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37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7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06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9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产出指标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113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发表论文</w:t>
            </w: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≥1篇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3篇</w:t>
            </w:r>
          </w:p>
        </w:tc>
        <w:tc>
          <w:tcPr>
            <w:tcW w:w="3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3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10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无</w:t>
            </w:r>
          </w:p>
        </w:tc>
      </w:tr>
      <w:tr>
        <w:trPr>
          <w:trHeight w:val="936" w:hRule="atLeast"/>
          <w:jc w:val="center"/>
        </w:trPr>
        <w:tc>
          <w:tcPr>
            <w:tcW w:w="29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113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研究生培养</w:t>
            </w: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≥1人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10人</w:t>
            </w:r>
          </w:p>
        </w:tc>
        <w:tc>
          <w:tcPr>
            <w:tcW w:w="3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3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14.5</w:t>
            </w:r>
          </w:p>
        </w:tc>
        <w:tc>
          <w:tcPr>
            <w:tcW w:w="10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实际完成值与年初设立目标存在偏差。改进措施：加强项目的前期论证调研，提高绩效目标申报的精确度。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  <w:jc w:val="center"/>
        </w:trPr>
        <w:tc>
          <w:tcPr>
            <w:tcW w:w="29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113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按要求完成支出</w:t>
            </w: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99.99%</w:t>
            </w:r>
          </w:p>
        </w:tc>
        <w:tc>
          <w:tcPr>
            <w:tcW w:w="3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10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29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113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成本控制</w:t>
            </w: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20万元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20万元</w:t>
            </w:r>
          </w:p>
        </w:tc>
        <w:tc>
          <w:tcPr>
            <w:tcW w:w="3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10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  <w:jc w:val="center"/>
        </w:trPr>
        <w:tc>
          <w:tcPr>
            <w:tcW w:w="29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效益指标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经济效益指标</w:t>
            </w:r>
          </w:p>
        </w:tc>
        <w:tc>
          <w:tcPr>
            <w:tcW w:w="113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促进相关学科人才培养、学科建设和科学研究</w:t>
            </w: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优，项目的实施促进了相关学科人才培养、学科建设和科学研究。</w:t>
            </w:r>
          </w:p>
        </w:tc>
        <w:tc>
          <w:tcPr>
            <w:tcW w:w="3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4.5</w:t>
            </w:r>
          </w:p>
        </w:tc>
        <w:tc>
          <w:tcPr>
            <w:tcW w:w="10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指标值设置的不够合理。改进措施：根据项目实际情况，按效益产出分类设置对应的绩效指标，规范各项效益指标设置。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  <w:jc w:val="center"/>
        </w:trPr>
        <w:tc>
          <w:tcPr>
            <w:tcW w:w="29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113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促进相关学科人才培养、学科建设和科学研究</w:t>
            </w: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优，项目的实施促进了相关学科人才培养、学科建设和科学研究。</w:t>
            </w:r>
          </w:p>
        </w:tc>
        <w:tc>
          <w:tcPr>
            <w:tcW w:w="3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0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  <w:jc w:val="center"/>
        </w:trPr>
        <w:tc>
          <w:tcPr>
            <w:tcW w:w="29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生态效益指标</w:t>
            </w:r>
          </w:p>
        </w:tc>
        <w:tc>
          <w:tcPr>
            <w:tcW w:w="113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促进相关学科人才培养、学科建设和科学研究</w:t>
            </w: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优，项目的实施促进了相关学科人才培养、学科建设和科学研究。</w:t>
            </w:r>
          </w:p>
        </w:tc>
        <w:tc>
          <w:tcPr>
            <w:tcW w:w="3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4.5</w:t>
            </w:r>
          </w:p>
        </w:tc>
        <w:tc>
          <w:tcPr>
            <w:tcW w:w="10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指标值设置的不够合理。改进措施：根据项目实际情况，按效益产出分类设置对应的绩效指标，规范各项效益指标设置。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  <w:jc w:val="center"/>
        </w:trPr>
        <w:tc>
          <w:tcPr>
            <w:tcW w:w="29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可持续影响指标</w:t>
            </w:r>
          </w:p>
        </w:tc>
        <w:tc>
          <w:tcPr>
            <w:tcW w:w="113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促进相关学科人才培养、学科建设和科学研究</w:t>
            </w: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优，项目的实施促进了相关学科人才培养、学科建设和科学研究。</w:t>
            </w:r>
          </w:p>
        </w:tc>
        <w:tc>
          <w:tcPr>
            <w:tcW w:w="3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0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4" w:hRule="atLeast"/>
          <w:jc w:val="center"/>
        </w:trPr>
        <w:tc>
          <w:tcPr>
            <w:tcW w:w="29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满意度指标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113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98%</w:t>
            </w:r>
          </w:p>
        </w:tc>
        <w:tc>
          <w:tcPr>
            <w:tcW w:w="3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10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本项目填报绩效目标申报表时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未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设置满意度指标。满意度指标的设定为项目受益师生满意度≥90%。改进措施：今后将注意绩效目标申报时各项指标填报的完整性。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3195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37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37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  <w:t xml:space="preserve">90.50 </w:t>
            </w:r>
          </w:p>
        </w:tc>
        <w:tc>
          <w:tcPr>
            <w:tcW w:w="106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VlZjZlYjFmZTJiY2ZkOGE3OTMyNDNlZjIwOGU0MDQifQ=="/>
  </w:docVars>
  <w:rsids>
    <w:rsidRoot w:val="00BF638B"/>
    <w:rsid w:val="00224DAF"/>
    <w:rsid w:val="002E79BB"/>
    <w:rsid w:val="00486DE1"/>
    <w:rsid w:val="00684AA5"/>
    <w:rsid w:val="007A7700"/>
    <w:rsid w:val="008B4A22"/>
    <w:rsid w:val="00936D19"/>
    <w:rsid w:val="00947D0B"/>
    <w:rsid w:val="009F3CD1"/>
    <w:rsid w:val="00A52AC0"/>
    <w:rsid w:val="00BF638B"/>
    <w:rsid w:val="00C9340A"/>
    <w:rsid w:val="6C7A6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B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3</Pages>
  <Words>1119</Words>
  <Characters>1250</Characters>
  <Lines>10</Lines>
  <Paragraphs>2</Paragraphs>
  <TotalTime>33</TotalTime>
  <ScaleCrop>false</ScaleCrop>
  <LinksUpToDate>false</LinksUpToDate>
  <CharactersWithSpaces>1282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2023-05-10T16:11:00Z</dcterms:created>
  <dc:creator>HP</dc:creator>
  <cp:lastModifiedBy>王会敏</cp:lastModifiedBy>
  <dcterms:modified xsi:type="dcterms:W3CDTF">2023-05-26T01:29:16Z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9C0E29499C5D45ED80E917B21227C85F</vt:lpwstr>
  </property>
</Properties>
</file>